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13F0" w14:textId="4E36B49C" w:rsidR="002F26C2" w:rsidRDefault="002B2CC6" w:rsidP="7043DE92">
      <w:pPr>
        <w:pStyle w:val="Ttulo3"/>
        <w:spacing w:before="281" w:after="281"/>
        <w:jc w:val="center"/>
        <w:rPr>
          <w:rFonts w:ascii="Aptos" w:eastAsia="Aptos" w:hAnsi="Aptos" w:cs="Aptos"/>
          <w:b/>
          <w:bCs/>
          <w:color w:val="auto"/>
          <w:sz w:val="36"/>
          <w:szCs w:val="36"/>
        </w:rPr>
      </w:pPr>
      <w:r w:rsidRPr="002B2CC6">
        <w:rPr>
          <w:rFonts w:ascii="Aptos" w:eastAsia="Aptos" w:hAnsi="Aptos" w:cs="Aptos"/>
          <w:b/>
          <w:bCs/>
          <w:color w:val="auto"/>
          <w:sz w:val="36"/>
          <w:szCs w:val="36"/>
        </w:rPr>
        <w:t>PayJoy y sus socios estratégicos apuestan a duplicar su impacto en México</w:t>
      </w:r>
    </w:p>
    <w:p w14:paraId="1FE8AE2D" w14:textId="77777777" w:rsidR="002B2CC6" w:rsidRPr="002B2CC6" w:rsidRDefault="002B2CC6" w:rsidP="002B2CC6">
      <w:pPr>
        <w:numPr>
          <w:ilvl w:val="0"/>
          <w:numId w:val="2"/>
        </w:numPr>
        <w:spacing w:before="240" w:after="240"/>
        <w:jc w:val="both"/>
        <w:rPr>
          <w:i/>
          <w:iCs/>
        </w:rPr>
      </w:pPr>
      <w:r w:rsidRPr="002B2CC6">
        <w:rPr>
          <w:i/>
          <w:iCs/>
        </w:rPr>
        <w:t>La firma reunió a más de 100 socios comerciales y a las principales marcas de tecnología para delinear una estrategia conjunta de crecimiento anclada en aprobación de crédito, expansión de Línea de Crédito y Tarjeta PayJoy, y la entrada formal al financiamiento de motocicletas.</w:t>
      </w:r>
    </w:p>
    <w:p w14:paraId="3C6EBCE1" w14:textId="3C5A3DD9" w:rsidR="002B2CC6" w:rsidRPr="002B2CC6" w:rsidRDefault="002B2CC6" w:rsidP="002B2CC6">
      <w:pPr>
        <w:spacing w:before="240" w:after="240"/>
        <w:jc w:val="both"/>
      </w:pPr>
      <w:r w:rsidRPr="002B2CC6">
        <w:rPr>
          <w:b/>
          <w:bCs/>
        </w:rPr>
        <w:t xml:space="preserve">Ciudad de México, </w:t>
      </w:r>
      <w:r w:rsidRPr="002B2CC6">
        <w:rPr>
          <w:b/>
          <w:bCs/>
        </w:rPr>
        <w:t>8</w:t>
      </w:r>
      <w:r w:rsidRPr="002B2CC6">
        <w:rPr>
          <w:b/>
          <w:bCs/>
        </w:rPr>
        <w:t xml:space="preserve"> de mayo de 2026</w:t>
      </w:r>
      <w:r w:rsidRPr="002B2CC6">
        <w:t>.- En el marco del Partners Summit México 2026, celebrado en Cancún, PayJoy presentó a sus socios comerciales y aliados de marca una hoja de ruta diseñada para duplicar el impacto conjunto en el mercado mexicano. La estrategia se construye sobre tres pilares: una tasa de aprobación de crédito que supera el 95% entre clientes con intención de compra en punto de venta, la expansión acelerada de productos financieros complementarios como Línea de Crédito y Tarjeta PayJoy, y la incorporación de nuevas categorías de financiamiento, comenzando por motocicletas.</w:t>
      </w:r>
    </w:p>
    <w:p w14:paraId="7F50D6FB" w14:textId="77777777" w:rsidR="002B2CC6" w:rsidRPr="002B2CC6" w:rsidRDefault="002B2CC6" w:rsidP="002B2CC6">
      <w:pPr>
        <w:spacing w:before="240" w:after="240"/>
        <w:jc w:val="both"/>
      </w:pPr>
      <w:r w:rsidRPr="002B2CC6">
        <w:t>El evento congregó a más de 100 aliados comerciales que representan más de 3,000 puntos de distribución en el país, junto con las principales marcas de dispositivos móviles que operan en México, incluyendo Xiaomi, Motorola, Honor, Realme, Antenna Bay y Nemastec. La presencia conjunta de retailers y fabricantes refleja una alineación poco común en el sector: todos los actores de la cadena trabajando sobre el mismo modelo de financiamiento para activar la demanda en un entorno de presión competitiva.</w:t>
      </w:r>
    </w:p>
    <w:p w14:paraId="5B5453D1" w14:textId="77777777" w:rsidR="002B2CC6" w:rsidRPr="002B2CC6" w:rsidRDefault="002B2CC6" w:rsidP="002B2CC6">
      <w:pPr>
        <w:spacing w:before="240" w:after="240"/>
        <w:jc w:val="both"/>
      </w:pPr>
      <w:r w:rsidRPr="002B2CC6">
        <w:rPr>
          <w:b/>
          <w:bCs/>
        </w:rPr>
        <w:t>Aprobación líder en el mercado</w:t>
      </w:r>
    </w:p>
    <w:p w14:paraId="4D2063B3" w14:textId="77777777" w:rsidR="002B2CC6" w:rsidRPr="002B2CC6" w:rsidRDefault="002B2CC6" w:rsidP="002B2CC6">
      <w:pPr>
        <w:spacing w:before="240" w:after="240"/>
        <w:jc w:val="both"/>
      </w:pPr>
      <w:r w:rsidRPr="002B2CC6">
        <w:t>Mientras gran parte del sector de crédito al consumo en México opera con tasas de aprobación de un dígito o de un dígito medio, PayJoy aprueba a más del 95% de los clientes que llegan al punto de venta con intención de compra. Este desempeño es resultado de una década de inversión en modelos de riesgo propios, tecnología de garantía sobre el dispositivo y una integración profunda con la operación del socio comercial.</w:t>
      </w:r>
    </w:p>
    <w:p w14:paraId="6E9D9DA5" w14:textId="77777777" w:rsidR="002B2CC6" w:rsidRPr="002B2CC6" w:rsidRDefault="002B2CC6" w:rsidP="002B2CC6">
      <w:pPr>
        <w:spacing w:before="240" w:after="240"/>
        <w:jc w:val="both"/>
      </w:pPr>
      <w:r w:rsidRPr="002B2CC6">
        <w:t>Para los aliados, esto se traduce en un beneficio directo: cada cliente que entra a la tienda tiene una probabilidad real de salir con un producto financiado, lo que mejora la conversión, eleva el ticket promedio y reduce la pérdida de venta.</w:t>
      </w:r>
    </w:p>
    <w:p w14:paraId="2FB5B80E" w14:textId="77777777" w:rsidR="002B2CC6" w:rsidRPr="002B2CC6" w:rsidRDefault="002B2CC6" w:rsidP="002B2CC6">
      <w:pPr>
        <w:spacing w:before="240" w:after="240"/>
        <w:jc w:val="both"/>
      </w:pPr>
      <w:r w:rsidRPr="002B2CC6">
        <w:rPr>
          <w:b/>
          <w:bCs/>
        </w:rPr>
        <w:t>Línea de Crédito y Tarjeta PayJoy: del primer producto a la relación financiera</w:t>
      </w:r>
    </w:p>
    <w:p w14:paraId="6962C754" w14:textId="77777777" w:rsidR="002B2CC6" w:rsidRPr="002B2CC6" w:rsidRDefault="002B2CC6" w:rsidP="002B2CC6">
      <w:pPr>
        <w:spacing w:before="240" w:after="240"/>
        <w:jc w:val="both"/>
      </w:pPr>
      <w:r w:rsidRPr="002B2CC6">
        <w:lastRenderedPageBreak/>
        <w:t>La compañía presentó la evolución de su portafolio hacia un modelo de productos complementarios. Una vez que el cliente adquiere su primer dispositivo financiado, accede progresivamente a una Línea de Crédito y posteriormente a Tarjeta PayJoy, productos que le permiten realizar nuevas compras en la red de socios y, gradualmente, construir un historial crediticio formal.</w:t>
      </w:r>
    </w:p>
    <w:p w14:paraId="0D85BDFB" w14:textId="77777777" w:rsidR="002B2CC6" w:rsidRPr="002B2CC6" w:rsidRDefault="002B2CC6" w:rsidP="002B2CC6">
      <w:pPr>
        <w:spacing w:before="240" w:after="240"/>
        <w:jc w:val="both"/>
      </w:pPr>
      <w:r w:rsidRPr="002B2CC6">
        <w:t>Más del 65% de los clientes activos de PayJoy utilizan más de un producto financiero de la compañía, una métrica que refleja el potencial de la plataforma como punto de entrada a la inclusión financiera y, para los socios, como motor de recurrencia y lifetime value.</w:t>
      </w:r>
    </w:p>
    <w:p w14:paraId="5ED5FF34" w14:textId="77777777" w:rsidR="002B2CC6" w:rsidRPr="002B2CC6" w:rsidRDefault="002B2CC6" w:rsidP="002B2CC6">
      <w:pPr>
        <w:spacing w:before="240" w:after="240"/>
        <w:jc w:val="both"/>
      </w:pPr>
      <w:r w:rsidRPr="002B2CC6">
        <w:rPr>
          <w:b/>
          <w:bCs/>
        </w:rPr>
        <w:t>Entrada formal al financiamiento de motocicletas</w:t>
      </w:r>
    </w:p>
    <w:p w14:paraId="52AC507F" w14:textId="77777777" w:rsidR="002B2CC6" w:rsidRPr="002B2CC6" w:rsidRDefault="002B2CC6" w:rsidP="002B2CC6">
      <w:pPr>
        <w:spacing w:before="240" w:after="240"/>
        <w:jc w:val="both"/>
      </w:pPr>
      <w:r w:rsidRPr="002B2CC6">
        <w:t>Como parte de la siguiente etapa de su evolución, PayJoy anunció su entrada al financiamiento de motocicletas en México. La iniciativa atiende a un segmento de movilidad de alta demanda y baja penetración crediticia formal, particularmente entre trabajadores independientes y emprendedores que utilizan la motocicleta como herramienta de trabajo.</w:t>
      </w:r>
    </w:p>
    <w:p w14:paraId="3798F37A" w14:textId="77777777" w:rsidR="002B2CC6" w:rsidRPr="002B2CC6" w:rsidRDefault="002B2CC6" w:rsidP="002B2CC6">
      <w:pPr>
        <w:spacing w:before="240" w:after="240"/>
        <w:jc w:val="both"/>
      </w:pPr>
      <w:r w:rsidRPr="002B2CC6">
        <w:t>El producto incorpora la tecnología de garantía remota característica de PayJoy, adaptada al activo, y está diseñado para escalar en colaboración con socios comerciales especializados en el segmento.</w:t>
      </w:r>
    </w:p>
    <w:p w14:paraId="01C152E9" w14:textId="77777777" w:rsidR="002B2CC6" w:rsidRPr="002B2CC6" w:rsidRDefault="002B2CC6" w:rsidP="002B2CC6">
      <w:pPr>
        <w:spacing w:before="240" w:after="240"/>
        <w:jc w:val="both"/>
      </w:pPr>
      <w:r w:rsidRPr="002B2CC6">
        <w:rPr>
          <w:b/>
          <w:bCs/>
        </w:rPr>
        <w:t>Una década construyendo la red más grande de inclusión financiera en retail</w:t>
      </w:r>
    </w:p>
    <w:p w14:paraId="709661F9" w14:textId="77777777" w:rsidR="002B2CC6" w:rsidRPr="002B2CC6" w:rsidRDefault="002B2CC6" w:rsidP="002B2CC6">
      <w:pPr>
        <w:spacing w:before="240" w:after="240"/>
        <w:jc w:val="both"/>
      </w:pPr>
      <w:r w:rsidRPr="002B2CC6">
        <w:t>Durante el Summit, PayJoy reconoció a sus socios por la trayectoria conjunta de los últimos diez años, periodo en el que la compañía ha originado financiamiento para millones de mexicanos a través de una red que hoy supera los 10,000 puntos de venta a nivel nacional.</w:t>
      </w:r>
    </w:p>
    <w:p w14:paraId="5439898A" w14:textId="77777777" w:rsidR="002B2CC6" w:rsidRPr="002B2CC6" w:rsidRDefault="002B2CC6" w:rsidP="002B2CC6">
      <w:pPr>
        <w:spacing w:before="240" w:after="240"/>
        <w:jc w:val="both"/>
      </w:pPr>
      <w:r w:rsidRPr="002B2CC6">
        <w:rPr>
          <w:i/>
          <w:iCs/>
        </w:rPr>
        <w:t>"La oportunidad de crecimiento en México no se resuelve solamente con más tráfico o más inventario. Se resuelve con una mejor conversión en piso de venta, productos financieros que acompañen al cliente más allá de la primera compra, y categorías nuevas que abran mercados donde el crédito formal aún no llega. Cuando los retailers, las marcas y PayJoy trabajamos sobre la misma estrategia, el resultado para el cliente final y para nuestros aliados puede multiplicarse,"</w:t>
      </w:r>
      <w:r w:rsidRPr="002B2CC6">
        <w:t xml:space="preserve"> señaló Nicolás Schiaffino, VP &amp; Country Manager de PayJoy en México.</w:t>
      </w:r>
    </w:p>
    <w:p w14:paraId="3E5E5C1C" w14:textId="77777777" w:rsidR="002B2CC6" w:rsidRPr="002B2CC6" w:rsidRDefault="002B2CC6" w:rsidP="002B2CC6">
      <w:pPr>
        <w:spacing w:before="240" w:after="240"/>
        <w:jc w:val="both"/>
      </w:pPr>
    </w:p>
    <w:p w14:paraId="672A6659" w14:textId="6D0378D6" w:rsidR="002F26C2" w:rsidRPr="002B2CC6" w:rsidRDefault="43922011" w:rsidP="002B2CC6">
      <w:pPr>
        <w:spacing w:before="240" w:after="240"/>
        <w:jc w:val="both"/>
        <w:rPr>
          <w:rFonts w:ascii="Aptos" w:eastAsia="Aptos" w:hAnsi="Aptos" w:cs="Aptos"/>
        </w:rPr>
      </w:pPr>
      <w:r>
        <w:br/>
      </w:r>
      <w:r>
        <w:br/>
      </w:r>
    </w:p>
    <w:sectPr w:rsidR="002F26C2" w:rsidRPr="002B2CC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1D43" w14:textId="77777777" w:rsidR="00527487" w:rsidRDefault="00527487" w:rsidP="001B2354">
      <w:pPr>
        <w:spacing w:after="0" w:line="240" w:lineRule="auto"/>
      </w:pPr>
      <w:r>
        <w:separator/>
      </w:r>
    </w:p>
  </w:endnote>
  <w:endnote w:type="continuationSeparator" w:id="0">
    <w:p w14:paraId="2B1CB609" w14:textId="77777777" w:rsidR="00527487" w:rsidRDefault="00527487"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0B947C5" w14:paraId="7CFFC5A7" w14:textId="77777777" w:rsidTr="20B947C5">
      <w:trPr>
        <w:trHeight w:val="300"/>
      </w:trPr>
      <w:tc>
        <w:tcPr>
          <w:tcW w:w="2830" w:type="dxa"/>
        </w:tcPr>
        <w:p w14:paraId="1E782F6B" w14:textId="4CAD99A8" w:rsidR="20B947C5" w:rsidRDefault="20B947C5" w:rsidP="20B947C5">
          <w:pPr>
            <w:pStyle w:val="Encabezado"/>
            <w:ind w:left="-115"/>
          </w:pPr>
        </w:p>
      </w:tc>
      <w:tc>
        <w:tcPr>
          <w:tcW w:w="2830" w:type="dxa"/>
        </w:tcPr>
        <w:p w14:paraId="4BC6F7E3" w14:textId="5B929F5B" w:rsidR="20B947C5" w:rsidRDefault="20B947C5" w:rsidP="20B947C5">
          <w:pPr>
            <w:pStyle w:val="Encabezado"/>
            <w:jc w:val="center"/>
          </w:pPr>
        </w:p>
      </w:tc>
      <w:tc>
        <w:tcPr>
          <w:tcW w:w="2830" w:type="dxa"/>
        </w:tcPr>
        <w:p w14:paraId="53695076" w14:textId="01DAACA5" w:rsidR="20B947C5" w:rsidRDefault="20B947C5" w:rsidP="20B947C5">
          <w:pPr>
            <w:pStyle w:val="Encabezado"/>
            <w:ind w:right="-115"/>
            <w:jc w:val="right"/>
          </w:pPr>
        </w:p>
      </w:tc>
    </w:tr>
  </w:tbl>
  <w:p w14:paraId="741F5CF1" w14:textId="7C994CE5" w:rsidR="20B947C5" w:rsidRDefault="20B947C5" w:rsidP="20B947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117B" w14:textId="77777777" w:rsidR="00527487" w:rsidRDefault="00527487" w:rsidP="001B2354">
      <w:pPr>
        <w:spacing w:after="0" w:line="240" w:lineRule="auto"/>
      </w:pPr>
      <w:r>
        <w:separator/>
      </w:r>
    </w:p>
  </w:footnote>
  <w:footnote w:type="continuationSeparator" w:id="0">
    <w:p w14:paraId="04DC77E9" w14:textId="77777777" w:rsidR="00527487" w:rsidRDefault="00527487"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0B947C5" w14:paraId="471E56F4" w14:textId="77777777" w:rsidTr="20B947C5">
      <w:trPr>
        <w:trHeight w:val="300"/>
      </w:trPr>
      <w:tc>
        <w:tcPr>
          <w:tcW w:w="2830" w:type="dxa"/>
        </w:tcPr>
        <w:p w14:paraId="75FD3D07" w14:textId="3DAB9D9D" w:rsidR="20B947C5" w:rsidRDefault="20B947C5" w:rsidP="20B947C5">
          <w:pPr>
            <w:pStyle w:val="Encabezado"/>
            <w:ind w:left="-115"/>
          </w:pPr>
          <w:r>
            <w:rPr>
              <w:noProof/>
            </w:rPr>
            <w:drawing>
              <wp:inline distT="0" distB="0" distL="0" distR="0" wp14:anchorId="3BDED0D6" wp14:editId="634E97C9">
                <wp:extent cx="1685925" cy="295275"/>
                <wp:effectExtent l="0" t="0" r="0" b="0"/>
                <wp:docPr id="1155352395" name="drawing" title="Imagen, Imag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52395" name="Picture 1155352395"/>
                        <pic:cNvPicPr/>
                      </pic:nvPicPr>
                      <pic:blipFill>
                        <a:blip r:embed="rId1">
                          <a:extLst>
                            <a:ext uri="{28A0092B-C50C-407E-A947-70E740481C1C}">
                              <a14:useLocalDpi xmlns:a14="http://schemas.microsoft.com/office/drawing/2010/main"/>
                            </a:ext>
                          </a:extLst>
                        </a:blip>
                        <a:stretch>
                          <a:fillRect/>
                        </a:stretch>
                      </pic:blipFill>
                      <pic:spPr>
                        <a:xfrm>
                          <a:off x="0" y="0"/>
                          <a:ext cx="1685925" cy="295275"/>
                        </a:xfrm>
                        <a:prstGeom prst="rect">
                          <a:avLst/>
                        </a:prstGeom>
                      </pic:spPr>
                    </pic:pic>
                  </a:graphicData>
                </a:graphic>
              </wp:inline>
            </w:drawing>
          </w:r>
        </w:p>
      </w:tc>
      <w:tc>
        <w:tcPr>
          <w:tcW w:w="2830" w:type="dxa"/>
        </w:tcPr>
        <w:p w14:paraId="7205F5ED" w14:textId="06F3F0D8" w:rsidR="20B947C5" w:rsidRDefault="20B947C5" w:rsidP="20B947C5">
          <w:pPr>
            <w:pStyle w:val="Encabezado"/>
            <w:jc w:val="center"/>
          </w:pPr>
        </w:p>
      </w:tc>
      <w:tc>
        <w:tcPr>
          <w:tcW w:w="2830" w:type="dxa"/>
        </w:tcPr>
        <w:p w14:paraId="34C408B2" w14:textId="2F675AC1" w:rsidR="20B947C5" w:rsidRDefault="20B947C5" w:rsidP="20B947C5">
          <w:pPr>
            <w:pStyle w:val="Encabezado"/>
            <w:ind w:right="-115"/>
            <w:jc w:val="right"/>
          </w:pPr>
        </w:p>
      </w:tc>
    </w:tr>
  </w:tbl>
  <w:p w14:paraId="5ACDAFAD" w14:textId="0270AB93" w:rsidR="20B947C5" w:rsidRDefault="20B947C5" w:rsidP="20B94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A36D"/>
    <w:multiLevelType w:val="hybridMultilevel"/>
    <w:tmpl w:val="5B4876C4"/>
    <w:lvl w:ilvl="0" w:tplc="BA2A5AD8">
      <w:start w:val="1"/>
      <w:numFmt w:val="bullet"/>
      <w:lvlText w:val=""/>
      <w:lvlJc w:val="left"/>
      <w:pPr>
        <w:ind w:left="720" w:hanging="360"/>
      </w:pPr>
      <w:rPr>
        <w:rFonts w:ascii="Symbol" w:hAnsi="Symbol" w:hint="default"/>
      </w:rPr>
    </w:lvl>
    <w:lvl w:ilvl="1" w:tplc="9188B34E">
      <w:start w:val="1"/>
      <w:numFmt w:val="bullet"/>
      <w:lvlText w:val="o"/>
      <w:lvlJc w:val="left"/>
      <w:pPr>
        <w:ind w:left="1440" w:hanging="360"/>
      </w:pPr>
      <w:rPr>
        <w:rFonts w:ascii="Courier New" w:hAnsi="Courier New" w:hint="default"/>
      </w:rPr>
    </w:lvl>
    <w:lvl w:ilvl="2" w:tplc="6F7EA426">
      <w:start w:val="1"/>
      <w:numFmt w:val="bullet"/>
      <w:lvlText w:val=""/>
      <w:lvlJc w:val="left"/>
      <w:pPr>
        <w:ind w:left="2160" w:hanging="360"/>
      </w:pPr>
      <w:rPr>
        <w:rFonts w:ascii="Wingdings" w:hAnsi="Wingdings" w:hint="default"/>
      </w:rPr>
    </w:lvl>
    <w:lvl w:ilvl="3" w:tplc="C3460618">
      <w:start w:val="1"/>
      <w:numFmt w:val="bullet"/>
      <w:lvlText w:val=""/>
      <w:lvlJc w:val="left"/>
      <w:pPr>
        <w:ind w:left="2880" w:hanging="360"/>
      </w:pPr>
      <w:rPr>
        <w:rFonts w:ascii="Symbol" w:hAnsi="Symbol" w:hint="default"/>
      </w:rPr>
    </w:lvl>
    <w:lvl w:ilvl="4" w:tplc="3F421BDE">
      <w:start w:val="1"/>
      <w:numFmt w:val="bullet"/>
      <w:lvlText w:val="o"/>
      <w:lvlJc w:val="left"/>
      <w:pPr>
        <w:ind w:left="3600" w:hanging="360"/>
      </w:pPr>
      <w:rPr>
        <w:rFonts w:ascii="Courier New" w:hAnsi="Courier New" w:hint="default"/>
      </w:rPr>
    </w:lvl>
    <w:lvl w:ilvl="5" w:tplc="8796E4F2">
      <w:start w:val="1"/>
      <w:numFmt w:val="bullet"/>
      <w:lvlText w:val=""/>
      <w:lvlJc w:val="left"/>
      <w:pPr>
        <w:ind w:left="4320" w:hanging="360"/>
      </w:pPr>
      <w:rPr>
        <w:rFonts w:ascii="Wingdings" w:hAnsi="Wingdings" w:hint="default"/>
      </w:rPr>
    </w:lvl>
    <w:lvl w:ilvl="6" w:tplc="C546B696">
      <w:start w:val="1"/>
      <w:numFmt w:val="bullet"/>
      <w:lvlText w:val=""/>
      <w:lvlJc w:val="left"/>
      <w:pPr>
        <w:ind w:left="5040" w:hanging="360"/>
      </w:pPr>
      <w:rPr>
        <w:rFonts w:ascii="Symbol" w:hAnsi="Symbol" w:hint="default"/>
      </w:rPr>
    </w:lvl>
    <w:lvl w:ilvl="7" w:tplc="499C6B8C">
      <w:start w:val="1"/>
      <w:numFmt w:val="bullet"/>
      <w:lvlText w:val="o"/>
      <w:lvlJc w:val="left"/>
      <w:pPr>
        <w:ind w:left="5760" w:hanging="360"/>
      </w:pPr>
      <w:rPr>
        <w:rFonts w:ascii="Courier New" w:hAnsi="Courier New" w:hint="default"/>
      </w:rPr>
    </w:lvl>
    <w:lvl w:ilvl="8" w:tplc="569E523A">
      <w:start w:val="1"/>
      <w:numFmt w:val="bullet"/>
      <w:lvlText w:val=""/>
      <w:lvlJc w:val="left"/>
      <w:pPr>
        <w:ind w:left="6480" w:hanging="360"/>
      </w:pPr>
      <w:rPr>
        <w:rFonts w:ascii="Wingdings" w:hAnsi="Wingdings" w:hint="default"/>
      </w:rPr>
    </w:lvl>
  </w:abstractNum>
  <w:abstractNum w:abstractNumId="1" w15:restartNumberingAfterBreak="0">
    <w:nsid w:val="239C483C"/>
    <w:multiLevelType w:val="multilevel"/>
    <w:tmpl w:val="BCE4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634370">
    <w:abstractNumId w:val="0"/>
  </w:num>
  <w:num w:numId="2" w16cid:durableId="36663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1B2354"/>
    <w:rsid w:val="002B2CC6"/>
    <w:rsid w:val="002F26C2"/>
    <w:rsid w:val="00527487"/>
    <w:rsid w:val="005F4C1B"/>
    <w:rsid w:val="00BE201A"/>
    <w:rsid w:val="0659A24F"/>
    <w:rsid w:val="0A0F34B4"/>
    <w:rsid w:val="0C27C7AF"/>
    <w:rsid w:val="0CE03F51"/>
    <w:rsid w:val="0D056B50"/>
    <w:rsid w:val="0FBFA529"/>
    <w:rsid w:val="11E9A076"/>
    <w:rsid w:val="1781869E"/>
    <w:rsid w:val="17D30719"/>
    <w:rsid w:val="1CB77FC0"/>
    <w:rsid w:val="1F827C4F"/>
    <w:rsid w:val="20B947C5"/>
    <w:rsid w:val="2586E888"/>
    <w:rsid w:val="27FAA5C3"/>
    <w:rsid w:val="29F3EF2F"/>
    <w:rsid w:val="2AC6EDF0"/>
    <w:rsid w:val="2C9B5B86"/>
    <w:rsid w:val="2E0971AB"/>
    <w:rsid w:val="3202B8A6"/>
    <w:rsid w:val="320B5FD8"/>
    <w:rsid w:val="3C54D3D8"/>
    <w:rsid w:val="3CBD058C"/>
    <w:rsid w:val="3E58E232"/>
    <w:rsid w:val="43922011"/>
    <w:rsid w:val="44FC84F0"/>
    <w:rsid w:val="47B2D3FF"/>
    <w:rsid w:val="4800980C"/>
    <w:rsid w:val="494C01ED"/>
    <w:rsid w:val="4A997DA0"/>
    <w:rsid w:val="4AF21609"/>
    <w:rsid w:val="4B0494C1"/>
    <w:rsid w:val="4DED8EB8"/>
    <w:rsid w:val="4EBB9180"/>
    <w:rsid w:val="50148876"/>
    <w:rsid w:val="512B9AC2"/>
    <w:rsid w:val="55D3B5FF"/>
    <w:rsid w:val="5ACF5233"/>
    <w:rsid w:val="5B4FE46D"/>
    <w:rsid w:val="5CA91E63"/>
    <w:rsid w:val="633CD92A"/>
    <w:rsid w:val="639A4BB9"/>
    <w:rsid w:val="6597C6DA"/>
    <w:rsid w:val="69868850"/>
    <w:rsid w:val="6998C565"/>
    <w:rsid w:val="6A60D62D"/>
    <w:rsid w:val="6A6279F6"/>
    <w:rsid w:val="6C698580"/>
    <w:rsid w:val="6E7516EE"/>
    <w:rsid w:val="6FD593FB"/>
    <w:rsid w:val="7043DE92"/>
    <w:rsid w:val="708850E7"/>
    <w:rsid w:val="72992DCF"/>
    <w:rsid w:val="72F70693"/>
    <w:rsid w:val="75F235D3"/>
    <w:rsid w:val="79DF90C4"/>
    <w:rsid w:val="7B91B6DE"/>
    <w:rsid w:val="7CDF6FE0"/>
    <w:rsid w:val="7F0A10B1"/>
    <w:rsid w:val="7F456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5B133"/>
  <w15:chartTrackingRefBased/>
  <w15:docId w15:val="{DE490A5C-B8B5-4133-98B4-F48C691E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1" ma:contentTypeDescription="Create a new document." ma:contentTypeScope="" ma:versionID="7516c5095d67f941de31dcb1aeedae9b">
  <xsd:schema xmlns:xsd="http://www.w3.org/2001/XMLSchema" xmlns:xs="http://www.w3.org/2001/XMLSchema" xmlns:p="http://schemas.microsoft.com/office/2006/metadata/properties" xmlns:ns2="549d9b32-086f-4d1d-a400-c5b4faa47054" targetNamespace="http://schemas.microsoft.com/office/2006/metadata/properties" ma:root="true" ma:fieldsID="cbc545f6228e8dbf2f8492af5cb3e138"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9388F-4A82-49B5-AD2B-ED8554324D28}">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7CAF35EF-E9E5-4B3C-8E61-D67241788751}">
  <ds:schemaRefs>
    <ds:schemaRef ds:uri="http://schemas.microsoft.com/sharepoint/v3/contenttype/forms"/>
  </ds:schemaRefs>
</ds:datastoreItem>
</file>

<file path=customXml/itemProps3.xml><?xml version="1.0" encoding="utf-8"?>
<ds:datastoreItem xmlns:ds="http://schemas.openxmlformats.org/officeDocument/2006/customXml" ds:itemID="{8D6D4EE6-2DAC-4C23-89BE-53305F0E5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9b32-086f-4d1d-a400-c5b4faa47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3689</Characters>
  <Application>Microsoft Office Word</Application>
  <DocSecurity>0</DocSecurity>
  <Lines>68</Lines>
  <Paragraphs>19</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Ortega Jaime</dc:creator>
  <cp:keywords/>
  <dc:description/>
  <cp:lastModifiedBy>Tanya Belmont Osornio</cp:lastModifiedBy>
  <cp:revision>2</cp:revision>
  <dcterms:created xsi:type="dcterms:W3CDTF">2026-05-08T01:03:00Z</dcterms:created>
  <dcterms:modified xsi:type="dcterms:W3CDTF">2026-05-08T01:03:00Z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